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 w:hAnsi="仿宋" w:eastAsia="仿宋" w:cs="仿宋"/>
          <w:sz w:val="28"/>
          <w:szCs w:val="28"/>
        </w:rPr>
      </w:pPr>
      <w:bookmarkStart w:id="1" w:name="_GoBack"/>
      <w:bookmarkStart w:id="0" w:name="Text"/>
      <w:r>
        <w:rPr>
          <w:rFonts w:hint="eastAsia" w:ascii="仿宋" w:hAnsi="仿宋" w:eastAsia="仿宋" w:cs="仿宋"/>
          <w:sz w:val="28"/>
          <w:szCs w:val="28"/>
        </w:rPr>
        <w:t xml:space="preserve">DG-SZ-004-4-2024 </w:t>
      </w:r>
    </w:p>
    <w:bookmarkEnd w:id="1"/>
    <w:p>
      <w:pPr>
        <w:snapToGrid w:val="0"/>
        <w:spacing w:line="594" w:lineRule="exact"/>
        <w:jc w:val="center"/>
        <w:rPr>
          <w:rFonts w:eastAsia="方正小标宋简体"/>
          <w:sz w:val="44"/>
          <w:szCs w:val="44"/>
        </w:rPr>
      </w:pPr>
      <w:r>
        <w:rPr>
          <w:rFonts w:hint="eastAsia" w:eastAsia="方正小标宋简体"/>
          <w:sz w:val="44"/>
          <w:szCs w:val="44"/>
        </w:rPr>
        <w:t>东莞市机顶盒产品质量监督抽查实施细则</w:t>
      </w:r>
    </w:p>
    <w:p>
      <w:pPr>
        <w:spacing w:line="440" w:lineRule="exact"/>
        <w:jc w:val="center"/>
        <w:rPr>
          <w:rFonts w:eastAsia="楷体_GB2312"/>
          <w:szCs w:val="32"/>
        </w:rPr>
      </w:pPr>
      <w:r>
        <w:rPr>
          <w:rFonts w:eastAsia="楷体_GB2312"/>
          <w:szCs w:val="32"/>
        </w:rPr>
        <w:t>（2024年版）</w:t>
      </w:r>
    </w:p>
    <w:p>
      <w:pPr>
        <w:spacing w:line="240" w:lineRule="exact"/>
        <w:jc w:val="center"/>
        <w:outlineLvl w:val="0"/>
        <w:rPr>
          <w:rFonts w:ascii="方正小标宋简体" w:eastAsia="方正小标宋简体"/>
          <w:kern w:val="44"/>
          <w:sz w:val="38"/>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szCs w:val="32"/>
        </w:rPr>
        <w:t>以随机抽样的方式在被抽样销售者的待销产品中抽取。</w:t>
      </w:r>
    </w:p>
    <w:p>
      <w:pPr>
        <w:snapToGrid w:val="0"/>
        <w:spacing w:line="560" w:lineRule="exact"/>
        <w:ind w:firstLine="632" w:firstLineChars="200"/>
        <w:rPr>
          <w:szCs w:val="32"/>
        </w:rPr>
      </w:pPr>
      <w:r>
        <w:rPr>
          <w:szCs w:val="32"/>
        </w:rPr>
        <w:t>随机数一般可使用随机数表等方法产生。</w:t>
      </w:r>
    </w:p>
    <w:p>
      <w:pPr>
        <w:snapToGrid w:val="0"/>
        <w:spacing w:line="560" w:lineRule="exact"/>
        <w:ind w:firstLine="632" w:firstLineChars="200"/>
        <w:rPr>
          <w:szCs w:val="32"/>
        </w:rPr>
      </w:pPr>
      <w:r>
        <w:rPr>
          <w:rFonts w:hint="eastAsia"/>
          <w:szCs w:val="32"/>
        </w:rPr>
        <w:t>每批次产品抽取样品2台，1台作为检验样品，1台作为备用样品。</w:t>
      </w:r>
    </w:p>
    <w:p>
      <w:pPr>
        <w:snapToGrid w:val="0"/>
        <w:spacing w:line="560" w:lineRule="exact"/>
        <w:ind w:firstLine="632" w:firstLineChars="200"/>
        <w:rPr>
          <w:rFonts w:eastAsia="黑体"/>
          <w:szCs w:val="32"/>
        </w:rPr>
      </w:pPr>
      <w:r>
        <w:rPr>
          <w:rFonts w:eastAsia="黑体"/>
          <w:szCs w:val="32"/>
        </w:rPr>
        <w:t>2 检验依据</w:t>
      </w:r>
    </w:p>
    <w:tbl>
      <w:tblPr>
        <w:tblStyle w:val="5"/>
        <w:tblW w:w="9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4367"/>
        <w:gridCol w:w="3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trPr>
        <w:tc>
          <w:tcPr>
            <w:tcW w:w="986" w:type="dxa"/>
            <w:vAlign w:val="center"/>
          </w:tcPr>
          <w:p>
            <w:pPr>
              <w:jc w:val="center"/>
              <w:rPr>
                <w:rFonts w:eastAsia="宋体"/>
                <w:color w:val="000000"/>
                <w:sz w:val="21"/>
                <w:szCs w:val="21"/>
              </w:rPr>
            </w:pPr>
            <w:r>
              <w:rPr>
                <w:rFonts w:eastAsia="宋体"/>
                <w:color w:val="000000"/>
                <w:sz w:val="21"/>
                <w:szCs w:val="21"/>
              </w:rPr>
              <w:t>序号</w:t>
            </w:r>
          </w:p>
        </w:tc>
        <w:tc>
          <w:tcPr>
            <w:tcW w:w="4367" w:type="dxa"/>
            <w:vAlign w:val="center"/>
          </w:tcPr>
          <w:p>
            <w:pPr>
              <w:jc w:val="center"/>
              <w:rPr>
                <w:rFonts w:eastAsia="宋体"/>
                <w:color w:val="000000"/>
                <w:sz w:val="21"/>
                <w:szCs w:val="21"/>
              </w:rPr>
            </w:pPr>
            <w:r>
              <w:rPr>
                <w:rFonts w:eastAsia="宋体"/>
                <w:color w:val="000000"/>
                <w:sz w:val="21"/>
                <w:szCs w:val="21"/>
              </w:rPr>
              <w:t>检验项目</w:t>
            </w:r>
          </w:p>
        </w:tc>
        <w:tc>
          <w:tcPr>
            <w:tcW w:w="3819" w:type="dxa"/>
            <w:vAlign w:val="center"/>
          </w:tcPr>
          <w:p>
            <w:pPr>
              <w:jc w:val="center"/>
              <w:rPr>
                <w:rFonts w:eastAsia="宋体"/>
                <w:color w:val="000000"/>
                <w:sz w:val="21"/>
                <w:szCs w:val="21"/>
              </w:rPr>
            </w:pPr>
            <w:r>
              <w:rPr>
                <w:rFonts w:eastAsia="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1</w:t>
            </w:r>
          </w:p>
        </w:tc>
        <w:tc>
          <w:tcPr>
            <w:tcW w:w="4367" w:type="dxa"/>
            <w:vAlign w:val="center"/>
          </w:tcPr>
          <w:p>
            <w:pPr>
              <w:jc w:val="center"/>
              <w:rPr>
                <w:rFonts w:eastAsia="宋体"/>
                <w:color w:val="000000"/>
                <w:sz w:val="21"/>
                <w:szCs w:val="21"/>
              </w:rPr>
            </w:pPr>
            <w:r>
              <w:rPr>
                <w:rFonts w:hint="eastAsia" w:eastAsia="宋体"/>
                <w:color w:val="000000"/>
                <w:sz w:val="21"/>
                <w:szCs w:val="21"/>
              </w:rPr>
              <w:t>导体的固定</w:t>
            </w:r>
          </w:p>
        </w:tc>
        <w:tc>
          <w:tcPr>
            <w:tcW w:w="3819" w:type="dxa"/>
            <w:vAlign w:val="center"/>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2</w:t>
            </w:r>
          </w:p>
        </w:tc>
        <w:tc>
          <w:tcPr>
            <w:tcW w:w="4367" w:type="dxa"/>
            <w:vAlign w:val="center"/>
          </w:tcPr>
          <w:p>
            <w:pPr>
              <w:jc w:val="center"/>
              <w:rPr>
                <w:rFonts w:eastAsia="宋体"/>
                <w:color w:val="000000"/>
                <w:sz w:val="21"/>
                <w:szCs w:val="21"/>
              </w:rPr>
            </w:pPr>
            <w:r>
              <w:rPr>
                <w:rFonts w:hint="eastAsia" w:eastAsia="宋体"/>
                <w:color w:val="000000"/>
                <w:sz w:val="21"/>
                <w:szCs w:val="21"/>
              </w:rPr>
              <w:t>直接插入电网电源输出插座的设备</w:t>
            </w:r>
          </w:p>
        </w:tc>
        <w:tc>
          <w:tcPr>
            <w:tcW w:w="3819"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3</w:t>
            </w:r>
          </w:p>
        </w:tc>
        <w:tc>
          <w:tcPr>
            <w:tcW w:w="4367" w:type="dxa"/>
            <w:vAlign w:val="center"/>
          </w:tcPr>
          <w:p>
            <w:pPr>
              <w:jc w:val="center"/>
              <w:rPr>
                <w:rFonts w:eastAsia="宋体"/>
                <w:color w:val="000000"/>
                <w:sz w:val="21"/>
                <w:szCs w:val="21"/>
              </w:rPr>
            </w:pPr>
            <w:r>
              <w:rPr>
                <w:rFonts w:eastAsia="宋体"/>
                <w:color w:val="000000"/>
                <w:sz w:val="21"/>
                <w:szCs w:val="21"/>
              </w:rPr>
              <w:t>直接安装导电金属零部件的热塑性零部件</w:t>
            </w:r>
          </w:p>
        </w:tc>
        <w:tc>
          <w:tcPr>
            <w:tcW w:w="3819"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4</w:t>
            </w:r>
          </w:p>
        </w:tc>
        <w:tc>
          <w:tcPr>
            <w:tcW w:w="4367" w:type="dxa"/>
            <w:vAlign w:val="center"/>
          </w:tcPr>
          <w:p>
            <w:pPr>
              <w:jc w:val="center"/>
              <w:rPr>
                <w:rFonts w:eastAsia="宋体"/>
                <w:color w:val="000000"/>
                <w:sz w:val="21"/>
                <w:szCs w:val="21"/>
              </w:rPr>
            </w:pPr>
            <w:r>
              <w:rPr>
                <w:rFonts w:hint="eastAsia" w:eastAsia="宋体"/>
                <w:color w:val="000000"/>
                <w:sz w:val="21"/>
                <w:szCs w:val="21"/>
              </w:rPr>
              <w:t>电气间隙</w:t>
            </w:r>
          </w:p>
        </w:tc>
        <w:tc>
          <w:tcPr>
            <w:tcW w:w="3819" w:type="dxa"/>
            <w:vAlign w:val="center"/>
          </w:tcPr>
          <w:p>
            <w:pPr>
              <w:spacing w:line="300" w:lineRule="exact"/>
              <w:jc w:val="center"/>
              <w:rPr>
                <w:rFonts w:eastAsia="宋体"/>
                <w:sz w:val="21"/>
              </w:rPr>
            </w:pPr>
            <w:r>
              <w:rPr>
                <w:rFonts w:hint="eastAsia" w:eastAsia="宋体"/>
                <w:kern w:val="0"/>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5</w:t>
            </w:r>
          </w:p>
        </w:tc>
        <w:tc>
          <w:tcPr>
            <w:tcW w:w="4367" w:type="dxa"/>
            <w:vAlign w:val="center"/>
          </w:tcPr>
          <w:p>
            <w:pPr>
              <w:jc w:val="center"/>
              <w:rPr>
                <w:rFonts w:eastAsia="宋体"/>
                <w:color w:val="000000"/>
                <w:sz w:val="21"/>
                <w:szCs w:val="21"/>
              </w:rPr>
            </w:pPr>
            <w:r>
              <w:rPr>
                <w:rFonts w:hint="eastAsia" w:eastAsia="宋体"/>
                <w:color w:val="000000"/>
                <w:sz w:val="21"/>
                <w:szCs w:val="21"/>
              </w:rPr>
              <w:t>爬电距离</w:t>
            </w:r>
          </w:p>
        </w:tc>
        <w:tc>
          <w:tcPr>
            <w:tcW w:w="3819" w:type="dxa"/>
            <w:vAlign w:val="center"/>
          </w:tcPr>
          <w:p>
            <w:pPr>
              <w:spacing w:line="300" w:lineRule="exact"/>
              <w:jc w:val="center"/>
              <w:rPr>
                <w:rFonts w:eastAsia="宋体"/>
                <w:sz w:val="21"/>
              </w:rPr>
            </w:pPr>
            <w:r>
              <w:rPr>
                <w:rFonts w:hint="eastAsia" w:eastAsia="宋体"/>
                <w:kern w:val="0"/>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6</w:t>
            </w:r>
          </w:p>
        </w:tc>
        <w:tc>
          <w:tcPr>
            <w:tcW w:w="4367" w:type="dxa"/>
            <w:vAlign w:val="center"/>
          </w:tcPr>
          <w:p>
            <w:pPr>
              <w:jc w:val="center"/>
              <w:rPr>
                <w:rFonts w:eastAsia="宋体"/>
                <w:color w:val="000000"/>
                <w:sz w:val="21"/>
                <w:szCs w:val="21"/>
              </w:rPr>
            </w:pPr>
            <w:r>
              <w:rPr>
                <w:rFonts w:hint="eastAsia" w:eastAsia="宋体"/>
                <w:color w:val="000000"/>
                <w:sz w:val="21"/>
                <w:szCs w:val="21"/>
              </w:rPr>
              <w:t>抗电强度试验</w:t>
            </w:r>
          </w:p>
        </w:tc>
        <w:tc>
          <w:tcPr>
            <w:tcW w:w="3819" w:type="dxa"/>
            <w:vAlign w:val="center"/>
          </w:tcPr>
          <w:p>
            <w:pPr>
              <w:spacing w:line="300" w:lineRule="exact"/>
              <w:jc w:val="center"/>
              <w:rPr>
                <w:rFonts w:eastAsia="宋体"/>
                <w:sz w:val="21"/>
              </w:rPr>
            </w:pPr>
            <w:r>
              <w:rPr>
                <w:rFonts w:hint="eastAsia" w:eastAsia="宋体"/>
                <w:kern w:val="0"/>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7</w:t>
            </w:r>
          </w:p>
        </w:tc>
        <w:tc>
          <w:tcPr>
            <w:tcW w:w="4367" w:type="dxa"/>
            <w:vAlign w:val="center"/>
          </w:tcPr>
          <w:p>
            <w:pPr>
              <w:snapToGrid w:val="0"/>
              <w:jc w:val="center"/>
              <w:rPr>
                <w:rFonts w:eastAsia="宋体"/>
                <w:color w:val="000000"/>
                <w:sz w:val="21"/>
                <w:szCs w:val="21"/>
              </w:rPr>
            </w:pPr>
            <w:r>
              <w:rPr>
                <w:rFonts w:eastAsia="宋体"/>
                <w:color w:val="000000"/>
                <w:sz w:val="21"/>
                <w:szCs w:val="21"/>
              </w:rPr>
              <w:t>预期的接触电压、接触电流和保护导体电流</w:t>
            </w:r>
          </w:p>
        </w:tc>
        <w:tc>
          <w:tcPr>
            <w:tcW w:w="3819" w:type="dxa"/>
            <w:vAlign w:val="center"/>
          </w:tcPr>
          <w:p>
            <w:pPr>
              <w:snapToGrid w:val="0"/>
              <w:jc w:val="center"/>
              <w:rPr>
                <w:rFonts w:eastAsia="宋体"/>
                <w:color w:val="000000"/>
                <w:sz w:val="21"/>
                <w:szCs w:val="21"/>
              </w:rPr>
            </w:pPr>
            <w:r>
              <w:rPr>
                <w:rFonts w:eastAsia="宋体"/>
                <w:color w:val="000000"/>
                <w:sz w:val="21"/>
                <w:szCs w:val="21"/>
              </w:rPr>
              <w:t>GB 4943.1</w:t>
            </w:r>
            <w:r>
              <w:rPr>
                <w:rFonts w:eastAsia="宋体"/>
                <w:sz w:val="21"/>
                <w:szCs w:val="21"/>
              </w:rPr>
              <w:t>-</w:t>
            </w:r>
            <w:r>
              <w:rPr>
                <w:rFonts w:eastAsia="宋体"/>
                <w:color w:val="00000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8</w:t>
            </w:r>
          </w:p>
        </w:tc>
        <w:tc>
          <w:tcPr>
            <w:tcW w:w="4367" w:type="dxa"/>
            <w:vAlign w:val="center"/>
          </w:tcPr>
          <w:p>
            <w:pPr>
              <w:jc w:val="center"/>
              <w:rPr>
                <w:rFonts w:eastAsia="宋体"/>
                <w:color w:val="000000"/>
                <w:sz w:val="21"/>
                <w:szCs w:val="21"/>
              </w:rPr>
            </w:pPr>
            <w:r>
              <w:rPr>
                <w:rFonts w:hint="eastAsia" w:eastAsia="宋体"/>
                <w:color w:val="000000"/>
                <w:sz w:val="21"/>
                <w:szCs w:val="21"/>
              </w:rPr>
              <w:t>热灼伤（接触温度限值）</w:t>
            </w:r>
          </w:p>
        </w:tc>
        <w:tc>
          <w:tcPr>
            <w:tcW w:w="3819"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9</w:t>
            </w:r>
          </w:p>
        </w:tc>
        <w:tc>
          <w:tcPr>
            <w:tcW w:w="4367" w:type="dxa"/>
            <w:vAlign w:val="center"/>
          </w:tcPr>
          <w:p>
            <w:pPr>
              <w:jc w:val="center"/>
              <w:rPr>
                <w:rFonts w:eastAsia="宋体"/>
                <w:color w:val="000000"/>
                <w:sz w:val="21"/>
                <w:szCs w:val="21"/>
              </w:rPr>
            </w:pPr>
            <w:r>
              <w:rPr>
                <w:rFonts w:hint="eastAsia" w:eastAsia="宋体"/>
                <w:color w:val="000000"/>
                <w:sz w:val="21"/>
                <w:szCs w:val="21"/>
              </w:rPr>
              <w:t>电源端子骚扰电压或交流电源端口的传导发射</w:t>
            </w:r>
          </w:p>
        </w:tc>
        <w:tc>
          <w:tcPr>
            <w:tcW w:w="3819" w:type="dxa"/>
            <w:vAlign w:val="center"/>
          </w:tcPr>
          <w:p>
            <w:pPr>
              <w:jc w:val="center"/>
              <w:rPr>
                <w:rFonts w:eastAsia="宋体"/>
                <w:sz w:val="21"/>
                <w:szCs w:val="21"/>
              </w:rPr>
            </w:pPr>
            <w:r>
              <w:rPr>
                <w:rFonts w:hint="eastAsia" w:eastAsia="宋体"/>
                <w:sz w:val="21"/>
                <w:szCs w:val="21"/>
              </w:rPr>
              <w:t>GB/T 9254</w:t>
            </w:r>
            <w:r>
              <w:rPr>
                <w:rFonts w:eastAsia="宋体"/>
                <w:sz w:val="21"/>
                <w:szCs w:val="21"/>
              </w:rPr>
              <w:t>-</w:t>
            </w:r>
            <w:r>
              <w:rPr>
                <w:rFonts w:hint="eastAsia" w:eastAsia="宋体"/>
                <w:sz w:val="21"/>
                <w:szCs w:val="21"/>
              </w:rPr>
              <w:t>2008及其第1号修改单或GB/T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86" w:type="dxa"/>
            <w:vAlign w:val="center"/>
          </w:tcPr>
          <w:p>
            <w:pPr>
              <w:jc w:val="center"/>
              <w:rPr>
                <w:rFonts w:eastAsia="宋体"/>
                <w:color w:val="000000"/>
                <w:sz w:val="21"/>
                <w:szCs w:val="21"/>
              </w:rPr>
            </w:pPr>
            <w:r>
              <w:rPr>
                <w:rFonts w:eastAsia="宋体"/>
                <w:color w:val="000000"/>
                <w:sz w:val="21"/>
                <w:szCs w:val="21"/>
              </w:rPr>
              <w:t>10</w:t>
            </w:r>
          </w:p>
        </w:tc>
        <w:tc>
          <w:tcPr>
            <w:tcW w:w="4367" w:type="dxa"/>
            <w:vAlign w:val="center"/>
          </w:tcPr>
          <w:p>
            <w:pPr>
              <w:jc w:val="center"/>
              <w:rPr>
                <w:rFonts w:eastAsia="宋体"/>
                <w:color w:val="000000"/>
                <w:sz w:val="21"/>
                <w:szCs w:val="21"/>
              </w:rPr>
            </w:pPr>
            <w:r>
              <w:rPr>
                <w:rFonts w:hint="eastAsia" w:eastAsia="宋体"/>
                <w:color w:val="000000"/>
                <w:sz w:val="21"/>
                <w:szCs w:val="21"/>
              </w:rPr>
              <w:t>辐射骚扰（</w:t>
            </w:r>
            <w:r>
              <w:rPr>
                <w:rFonts w:eastAsia="宋体"/>
                <w:color w:val="000000"/>
                <w:sz w:val="21"/>
                <w:szCs w:val="21"/>
              </w:rPr>
              <w:t>1GHz</w:t>
            </w:r>
            <w:r>
              <w:rPr>
                <w:rFonts w:hint="eastAsia" w:eastAsia="宋体"/>
                <w:color w:val="000000"/>
                <w:sz w:val="21"/>
                <w:szCs w:val="21"/>
              </w:rPr>
              <w:t>以下）或</w:t>
            </w:r>
            <w:r>
              <w:rPr>
                <w:rFonts w:eastAsia="宋体"/>
                <w:color w:val="000000"/>
                <w:sz w:val="21"/>
                <w:szCs w:val="21"/>
              </w:rPr>
              <w:t>1GHz</w:t>
            </w:r>
            <w:r>
              <w:rPr>
                <w:rFonts w:hint="eastAsia" w:eastAsia="宋体"/>
                <w:color w:val="000000"/>
                <w:sz w:val="21"/>
                <w:szCs w:val="21"/>
              </w:rPr>
              <w:t>以下辐射发射</w:t>
            </w:r>
          </w:p>
        </w:tc>
        <w:tc>
          <w:tcPr>
            <w:tcW w:w="3819" w:type="dxa"/>
            <w:vAlign w:val="center"/>
          </w:tcPr>
          <w:p>
            <w:pPr>
              <w:jc w:val="center"/>
              <w:rPr>
                <w:rFonts w:eastAsia="宋体"/>
                <w:sz w:val="21"/>
                <w:szCs w:val="21"/>
              </w:rPr>
            </w:pPr>
            <w:r>
              <w:rPr>
                <w:rFonts w:hint="eastAsia" w:eastAsia="宋体"/>
                <w:sz w:val="21"/>
                <w:szCs w:val="21"/>
              </w:rPr>
              <w:t>GB/T 9254</w:t>
            </w:r>
            <w:r>
              <w:rPr>
                <w:rFonts w:eastAsia="宋体"/>
                <w:sz w:val="21"/>
                <w:szCs w:val="21"/>
              </w:rPr>
              <w:t>-</w:t>
            </w:r>
            <w:r>
              <w:rPr>
                <w:rFonts w:hint="eastAsia" w:eastAsia="宋体"/>
                <w:sz w:val="21"/>
                <w:szCs w:val="21"/>
              </w:rPr>
              <w:t>2008及其第1号修改单或GB/T 9254.1-2021</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szCs w:val="32"/>
        </w:rPr>
        <w:t>3.1依据标准</w:t>
      </w:r>
    </w:p>
    <w:p>
      <w:pPr>
        <w:snapToGrid w:val="0"/>
        <w:spacing w:line="560" w:lineRule="exact"/>
        <w:ind w:firstLine="632" w:firstLineChars="200"/>
        <w:rPr>
          <w:szCs w:val="32"/>
        </w:rPr>
      </w:pPr>
      <w:r>
        <w:rPr>
          <w:szCs w:val="32"/>
        </w:rPr>
        <w:t>GB 4943.1</w:t>
      </w:r>
      <w:r>
        <w:rPr>
          <w:rFonts w:hint="eastAsia"/>
          <w:szCs w:val="32"/>
        </w:rPr>
        <w:t>-</w:t>
      </w:r>
      <w:r>
        <w:rPr>
          <w:szCs w:val="32"/>
        </w:rPr>
        <w:t>2022 音视频、信息技术和通信技术设备 第1部分：安全要求</w:t>
      </w:r>
    </w:p>
    <w:p>
      <w:pPr>
        <w:snapToGrid w:val="0"/>
        <w:spacing w:line="560" w:lineRule="exact"/>
        <w:ind w:firstLine="632" w:firstLineChars="200"/>
        <w:rPr>
          <w:szCs w:val="32"/>
        </w:rPr>
      </w:pPr>
      <w:r>
        <w:rPr>
          <w:szCs w:val="32"/>
        </w:rPr>
        <w:t>GB/T 9254</w:t>
      </w:r>
      <w:r>
        <w:rPr>
          <w:rFonts w:hint="eastAsia"/>
          <w:szCs w:val="32"/>
        </w:rPr>
        <w:t>-</w:t>
      </w:r>
      <w:r>
        <w:rPr>
          <w:szCs w:val="32"/>
        </w:rPr>
        <w:t>2008 信息技术设备的无线电骚扰限值和测量方法及其第1号修改单</w:t>
      </w:r>
    </w:p>
    <w:p>
      <w:pPr>
        <w:snapToGrid w:val="0"/>
        <w:spacing w:line="560" w:lineRule="exact"/>
        <w:ind w:firstLine="632" w:firstLineChars="200"/>
        <w:rPr>
          <w:szCs w:val="32"/>
        </w:rPr>
      </w:pPr>
      <w:r>
        <w:rPr>
          <w:szCs w:val="32"/>
        </w:rPr>
        <w:t>GB/T 9254.1</w:t>
      </w:r>
      <w:r>
        <w:rPr>
          <w:rFonts w:hint="eastAsia"/>
          <w:szCs w:val="32"/>
        </w:rPr>
        <w:t>-</w:t>
      </w:r>
      <w:r>
        <w:rPr>
          <w:szCs w:val="32"/>
        </w:rPr>
        <w:t>2021 信息技术设备、多媒体设备和接收机 电磁兼容 第1部分：发射要求</w:t>
      </w:r>
    </w:p>
    <w:p>
      <w:pPr>
        <w:snapToGrid w:val="0"/>
        <w:spacing w:line="560" w:lineRule="exact"/>
        <w:ind w:firstLine="632" w:firstLineChars="200"/>
        <w:rPr>
          <w:szCs w:val="32"/>
        </w:rPr>
      </w:pPr>
      <w:r>
        <w:rPr>
          <w:szCs w:val="32"/>
        </w:rPr>
        <w:t>现行有效的企业标准、团体标准、地方标准及产品明示质量要求</w:t>
      </w:r>
    </w:p>
    <w:p>
      <w:pPr>
        <w:snapToGrid w:val="0"/>
        <w:spacing w:line="560" w:lineRule="exact"/>
        <w:ind w:firstLine="632" w:firstLineChars="200"/>
        <w:rPr>
          <w:szCs w:val="32"/>
        </w:rPr>
      </w:pPr>
      <w:r>
        <w:rPr>
          <w:szCs w:val="32"/>
        </w:rPr>
        <w:t>3.2判定原则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596640"/>
    <w:rsid w:val="00CF0946"/>
    <w:rsid w:val="00F222D4"/>
    <w:rsid w:val="27E917D6"/>
    <w:rsid w:val="34E27654"/>
    <w:rsid w:val="4E88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808</Words>
  <Characters>993</Characters>
  <Lines>7</Lines>
  <Paragraphs>2</Paragraphs>
  <TotalTime>10</TotalTime>
  <ScaleCrop>false</ScaleCrop>
  <LinksUpToDate>false</LinksUpToDate>
  <CharactersWithSpaces>1017</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2024-04-28T09:33:36Z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321D9E9C2C7649B2A4461C7722E3D295</vt:lpwstr>
  </property>
</Properties>
</file>